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E6A1" w14:textId="7E31E2E9" w:rsidR="002F75D8" w:rsidRDefault="00A70846" w:rsidP="00A70846">
      <w:pPr>
        <w:ind w:left="-540" w:firstLine="540"/>
        <w:jc w:val="center"/>
        <w:rPr>
          <w:rFonts w:ascii="Calibri" w:eastAsia="Calibri" w:hAnsi="Calibri" w:cs="Calibri"/>
          <w:color w:val="578625"/>
          <w:sz w:val="28"/>
          <w:szCs w:val="28"/>
        </w:rPr>
      </w:pPr>
      <w:r w:rsidRPr="00AF032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53AB3A2" wp14:editId="4FD80278">
            <wp:simplePos x="0" y="0"/>
            <wp:positionH relativeFrom="column">
              <wp:posOffset>158888</wp:posOffset>
            </wp:positionH>
            <wp:positionV relativeFrom="paragraph">
              <wp:posOffset>-175177</wp:posOffset>
            </wp:positionV>
            <wp:extent cx="542925" cy="542925"/>
            <wp:effectExtent l="0" t="0" r="3175" b="3175"/>
            <wp:wrapNone/>
            <wp:docPr id="192098900" name="Picture 192098900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989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2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AD3B6A" wp14:editId="18BCE8E6">
            <wp:simplePos x="0" y="0"/>
            <wp:positionH relativeFrom="column">
              <wp:posOffset>5112026</wp:posOffset>
            </wp:positionH>
            <wp:positionV relativeFrom="paragraph">
              <wp:posOffset>-175177</wp:posOffset>
            </wp:positionV>
            <wp:extent cx="542925" cy="542925"/>
            <wp:effectExtent l="0" t="0" r="3175" b="3175"/>
            <wp:wrapNone/>
            <wp:docPr id="1" name="Picture 1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65CBF9" w:rsidRPr="00AF032B">
        <w:rPr>
          <w:rFonts w:ascii="Calibri" w:hAnsi="Calibri"/>
          <w:b/>
          <w:bCs/>
          <w:sz w:val="40"/>
          <w:szCs w:val="40"/>
        </w:rPr>
        <w:t>Tier II Intervention Audit Activity</w:t>
      </w:r>
      <w:r w:rsidR="1D65CBF9" w:rsidRPr="1D65CBF9">
        <w:rPr>
          <w:rFonts w:ascii="Calibri" w:hAnsi="Calibri"/>
          <w:b/>
          <w:bCs/>
          <w:sz w:val="40"/>
          <w:szCs w:val="40"/>
        </w:rPr>
        <w:t xml:space="preserve">  </w:t>
      </w:r>
      <w:r w:rsidR="1D65CBF9" w:rsidRPr="1D65CBF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1D65CBF9" w:rsidRPr="1D65CBF9">
        <w:rPr>
          <w:rFonts w:ascii="Calibri" w:eastAsia="Calibri" w:hAnsi="Calibri" w:cs="Calibri"/>
          <w:b/>
          <w:bCs/>
          <w:color w:val="578625"/>
          <w:sz w:val="40"/>
          <w:szCs w:val="40"/>
        </w:rPr>
        <w:t xml:space="preserve">        </w:t>
      </w:r>
      <w:r w:rsidR="1D65CBF9" w:rsidRPr="1D65CBF9">
        <w:rPr>
          <w:rFonts w:ascii="Calibri" w:eastAsia="Calibri" w:hAnsi="Calibri" w:cs="Calibri"/>
          <w:b/>
          <w:bCs/>
          <w:color w:val="578625"/>
          <w:sz w:val="28"/>
          <w:szCs w:val="28"/>
        </w:rPr>
        <w:t xml:space="preserve">        </w:t>
      </w:r>
    </w:p>
    <w:p w14:paraId="1AFA3FBD" w14:textId="55FD19B1" w:rsidR="002F75D8" w:rsidRDefault="002F75D8" w:rsidP="1501AD5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634D850" wp14:editId="30D4F9EF">
            <wp:extent cx="4143375" cy="57150"/>
            <wp:effectExtent l="0" t="0" r="0" b="0"/>
            <wp:docPr id="2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B2AC" w14:textId="77777777" w:rsidR="00A70846" w:rsidRDefault="00A70846" w:rsidP="1D65CBF9">
      <w:pPr>
        <w:ind w:left="-54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4482E7B" w14:textId="5ADAED9E" w:rsidR="002F75D8" w:rsidRDefault="00BE5036" w:rsidP="1D65CBF9">
      <w:pPr>
        <w:ind w:left="-540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9E1A52" wp14:editId="0027B9CC">
            <wp:simplePos x="0" y="0"/>
            <wp:positionH relativeFrom="column">
              <wp:posOffset>5650865</wp:posOffset>
            </wp:positionH>
            <wp:positionV relativeFrom="paragraph">
              <wp:posOffset>7800616</wp:posOffset>
            </wp:positionV>
            <wp:extent cx="1029804" cy="489907"/>
            <wp:effectExtent l="0" t="0" r="0" b="5715"/>
            <wp:wrapNone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04" cy="48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01AD57" w:rsidRPr="1EE411C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Select a Tier II Intervention for behavior that is being implemented at your school or review the Breaks are Better (</w:t>
      </w:r>
      <w:proofErr w:type="spellStart"/>
      <w:r w:rsidR="1501AD57" w:rsidRPr="1EE411C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BrB</w:t>
      </w:r>
      <w:proofErr w:type="spellEnd"/>
      <w:r w:rsidR="1501AD57" w:rsidRPr="1EE411C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) Manual. Complete the audit for either your intervention or </w:t>
      </w:r>
      <w:proofErr w:type="spellStart"/>
      <w:r w:rsidR="1501AD57" w:rsidRPr="1EE411C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BrB</w:t>
      </w:r>
      <w:proofErr w:type="spellEnd"/>
      <w:r w:rsidR="1501AD57" w:rsidRPr="1EE411C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and discuss your answers as a team. </w:t>
      </w:r>
    </w:p>
    <w:tbl>
      <w:tblPr>
        <w:tblStyle w:val="GridTable3"/>
        <w:tblW w:w="11156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4795"/>
        <w:gridCol w:w="977"/>
        <w:gridCol w:w="978"/>
        <w:gridCol w:w="977"/>
        <w:gridCol w:w="978"/>
      </w:tblGrid>
      <w:tr w:rsidR="002F75D8" w:rsidRPr="003F44BE" w14:paraId="75E26462" w14:textId="77777777" w:rsidTr="1EE41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C0E8F" w14:textId="77777777" w:rsidR="002F75D8" w:rsidRPr="003F44BE" w:rsidRDefault="1EE411CB" w:rsidP="1EE411CB">
            <w:pPr>
              <w:jc w:val="center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Feature</w:t>
            </w: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3750AD" w14:textId="77777777" w:rsidR="002F75D8" w:rsidRPr="003F44BE" w:rsidRDefault="1EE411CB" w:rsidP="1EE4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Explanation </w:t>
            </w: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61ED6B0" w14:textId="00008134" w:rsidR="002F75D8" w:rsidRPr="003F44BE" w:rsidRDefault="1EE411CB" w:rsidP="1EE411CB">
            <w:pPr>
              <w:ind w:right="-2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BrB</w:t>
            </w:r>
            <w:proofErr w:type="spellEnd"/>
          </w:p>
        </w:tc>
        <w:tc>
          <w:tcPr>
            <w:tcW w:w="9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81EEF9C" w14:textId="77777777" w:rsidR="002F75D8" w:rsidRPr="003F44BE" w:rsidRDefault="002F75D8" w:rsidP="1EE4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DB0D10" w14:textId="77777777" w:rsidR="002F75D8" w:rsidRPr="003F44BE" w:rsidRDefault="002F75D8" w:rsidP="1EE4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90ED09" w14:textId="77777777" w:rsidR="002F75D8" w:rsidRPr="003F44BE" w:rsidRDefault="002F75D8" w:rsidP="1EE4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F75D8" w:rsidRPr="003F44BE" w14:paraId="770785C1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31F605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Linked to school-wide expectations</w:t>
            </w:r>
          </w:p>
        </w:tc>
        <w:tc>
          <w:tcPr>
            <w:tcW w:w="4795" w:type="dxa"/>
            <w:shd w:val="clear" w:color="auto" w:fill="auto"/>
          </w:tcPr>
          <w:p w14:paraId="5CB7DF61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The intervention should refer to the school’s School-wide Behavior Expectation.</w:t>
            </w:r>
          </w:p>
          <w:p w14:paraId="1501639C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Behaviors taught should reference back to the whole school plan.</w:t>
            </w:r>
          </w:p>
        </w:tc>
        <w:tc>
          <w:tcPr>
            <w:tcW w:w="977" w:type="dxa"/>
            <w:shd w:val="clear" w:color="auto" w:fill="auto"/>
          </w:tcPr>
          <w:p w14:paraId="71570334" w14:textId="77777777" w:rsidR="002F75D8" w:rsidRPr="003F44BE" w:rsidRDefault="002F75D8" w:rsidP="1EE411C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222D030" w14:textId="77777777" w:rsidR="002F75D8" w:rsidRPr="003F44BE" w:rsidRDefault="002F75D8" w:rsidP="1EE411C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7C99834C" w14:textId="77777777" w:rsidR="002F75D8" w:rsidRPr="003F44BE" w:rsidRDefault="002F75D8" w:rsidP="1EE411C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84EEDDA" w14:textId="77777777" w:rsidR="002F75D8" w:rsidRPr="003F44BE" w:rsidRDefault="002F75D8" w:rsidP="1EE411C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07BD7D30" w14:textId="77777777" w:rsidTr="1EE4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A33AD7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Continuously available for student participation</w:t>
            </w:r>
          </w:p>
        </w:tc>
        <w:tc>
          <w:tcPr>
            <w:tcW w:w="4795" w:type="dxa"/>
            <w:shd w:val="clear" w:color="auto" w:fill="auto"/>
          </w:tcPr>
          <w:p w14:paraId="6F154283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Interventions should be available to students throughout the year.</w:t>
            </w:r>
          </w:p>
        </w:tc>
        <w:tc>
          <w:tcPr>
            <w:tcW w:w="977" w:type="dxa"/>
            <w:shd w:val="clear" w:color="auto" w:fill="auto"/>
          </w:tcPr>
          <w:p w14:paraId="1DA597E6" w14:textId="77777777" w:rsidR="002F75D8" w:rsidRPr="003F44BE" w:rsidRDefault="002F75D8" w:rsidP="1EE411C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4C11337" w14:textId="77777777" w:rsidR="002F75D8" w:rsidRPr="003F44BE" w:rsidRDefault="002F75D8" w:rsidP="1EE411C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2E0B1BD1" w14:textId="77777777" w:rsidR="002F75D8" w:rsidRPr="003F44BE" w:rsidRDefault="002F75D8" w:rsidP="1EE411C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B36FE0F" w14:textId="77777777" w:rsidR="002F75D8" w:rsidRPr="003F44BE" w:rsidRDefault="002F75D8" w:rsidP="1EE411C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5F7BB8F9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78581B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Rapid Access to Intervention</w:t>
            </w:r>
          </w:p>
        </w:tc>
        <w:tc>
          <w:tcPr>
            <w:tcW w:w="4795" w:type="dxa"/>
            <w:shd w:val="clear" w:color="auto" w:fill="auto"/>
          </w:tcPr>
          <w:p w14:paraId="22D8CA18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Once identified, students should be placed in Tier II intervention within 3-5 days.</w:t>
            </w:r>
          </w:p>
        </w:tc>
        <w:tc>
          <w:tcPr>
            <w:tcW w:w="977" w:type="dxa"/>
            <w:shd w:val="clear" w:color="auto" w:fill="auto"/>
          </w:tcPr>
          <w:p w14:paraId="71CDBCBA" w14:textId="77777777" w:rsidR="002F75D8" w:rsidRPr="003F44BE" w:rsidRDefault="002F75D8" w:rsidP="1EE411C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CCE2CBE" w14:textId="77777777" w:rsidR="002F75D8" w:rsidRPr="003F44BE" w:rsidRDefault="002F75D8" w:rsidP="1EE411C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0C977AEC" w14:textId="77777777" w:rsidR="002F75D8" w:rsidRPr="003F44BE" w:rsidRDefault="002F75D8" w:rsidP="1EE411C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A5379FD" w14:textId="77777777" w:rsidR="002F75D8" w:rsidRPr="003F44BE" w:rsidRDefault="002F75D8" w:rsidP="1EE411CB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5E489BEC" w14:textId="77777777" w:rsidTr="1EE411CB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8740F09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Matched to function of behavior</w:t>
            </w:r>
          </w:p>
        </w:tc>
        <w:tc>
          <w:tcPr>
            <w:tcW w:w="4795" w:type="dxa"/>
            <w:shd w:val="clear" w:color="auto" w:fill="auto"/>
          </w:tcPr>
          <w:p w14:paraId="0771994D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Interventions should be varied so that students are able to access interventions that match the function of their behavior.</w:t>
            </w:r>
          </w:p>
        </w:tc>
        <w:tc>
          <w:tcPr>
            <w:tcW w:w="977" w:type="dxa"/>
            <w:shd w:val="clear" w:color="auto" w:fill="auto"/>
          </w:tcPr>
          <w:p w14:paraId="2C12C7F6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678DE98D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4A45C779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2025375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40D286EC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292A6A5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Specific feedback given to students from staff</w:t>
            </w:r>
          </w:p>
        </w:tc>
        <w:tc>
          <w:tcPr>
            <w:tcW w:w="4795" w:type="dxa"/>
            <w:shd w:val="clear" w:color="auto" w:fill="auto"/>
          </w:tcPr>
          <w:p w14:paraId="6F0FCFB8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Interventions should provide explicit feedback to students about their behavior.</w:t>
            </w:r>
          </w:p>
          <w:p w14:paraId="4CA0C67F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Both specific positive and corrective feedback should be given to the student. </w:t>
            </w:r>
          </w:p>
        </w:tc>
        <w:tc>
          <w:tcPr>
            <w:tcW w:w="977" w:type="dxa"/>
            <w:shd w:val="clear" w:color="auto" w:fill="auto"/>
          </w:tcPr>
          <w:p w14:paraId="4EEBCB54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46E44383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3DFEC4F1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1D62EE9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638BAF2B" w14:textId="77777777" w:rsidTr="1EE411CB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8EE353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Daily opportunities to practice skills</w:t>
            </w:r>
          </w:p>
        </w:tc>
        <w:tc>
          <w:tcPr>
            <w:tcW w:w="4795" w:type="dxa"/>
            <w:shd w:val="clear" w:color="auto" w:fill="auto"/>
          </w:tcPr>
          <w:p w14:paraId="6FB3CDF4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Interventions should be given students time to practice their new skills in the classroom or other school settings. </w:t>
            </w:r>
          </w:p>
        </w:tc>
        <w:tc>
          <w:tcPr>
            <w:tcW w:w="977" w:type="dxa"/>
            <w:shd w:val="clear" w:color="auto" w:fill="auto"/>
          </w:tcPr>
          <w:p w14:paraId="5FF0EB92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88A2977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27658383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C7304CA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6C6AE385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0CBF325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Structures and prompts for what to do in relevant situations</w:t>
            </w:r>
          </w:p>
        </w:tc>
        <w:tc>
          <w:tcPr>
            <w:tcW w:w="4795" w:type="dxa"/>
            <w:shd w:val="clear" w:color="auto" w:fill="auto"/>
          </w:tcPr>
          <w:p w14:paraId="2B3B82D9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Interventions should include specific information for students about what to do when different situations arise. </w:t>
            </w:r>
          </w:p>
        </w:tc>
        <w:tc>
          <w:tcPr>
            <w:tcW w:w="977" w:type="dxa"/>
            <w:shd w:val="clear" w:color="auto" w:fill="auto"/>
          </w:tcPr>
          <w:p w14:paraId="25177F59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17D475F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0E27D507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92430A5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5B390ADE" w14:textId="77777777" w:rsidTr="1EE4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A76900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Orientation process for families, students, and staff</w:t>
            </w:r>
          </w:p>
        </w:tc>
        <w:tc>
          <w:tcPr>
            <w:tcW w:w="4795" w:type="dxa"/>
            <w:shd w:val="clear" w:color="auto" w:fill="auto"/>
          </w:tcPr>
          <w:p w14:paraId="40741B03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written plan for informing faculty, families, and students participating in interventions should be created and updated annually. </w:t>
            </w:r>
          </w:p>
        </w:tc>
        <w:tc>
          <w:tcPr>
            <w:tcW w:w="977" w:type="dxa"/>
            <w:shd w:val="clear" w:color="auto" w:fill="auto"/>
          </w:tcPr>
          <w:p w14:paraId="413D1F27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60E0E592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2ED3FA0A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52C2FF8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F75D8" w:rsidRPr="003F44BE" w14:paraId="0FF6535C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62D552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Intervention can be modified based on data</w:t>
            </w:r>
          </w:p>
        </w:tc>
        <w:tc>
          <w:tcPr>
            <w:tcW w:w="4795" w:type="dxa"/>
            <w:shd w:val="clear" w:color="auto" w:fill="auto"/>
          </w:tcPr>
          <w:p w14:paraId="089E6922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Data should be reviewed weekly to ensure that student progress is being made. </w:t>
            </w:r>
          </w:p>
          <w:p w14:paraId="4033F59F" w14:textId="77777777" w:rsidR="002F75D8" w:rsidRPr="003F44BE" w:rsidRDefault="1EE411CB" w:rsidP="1EE411CB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Interventions should be adjusted if the student is not making adequate progress. </w:t>
            </w:r>
          </w:p>
        </w:tc>
        <w:tc>
          <w:tcPr>
            <w:tcW w:w="977" w:type="dxa"/>
            <w:shd w:val="clear" w:color="auto" w:fill="auto"/>
          </w:tcPr>
          <w:p w14:paraId="2462BE6A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B2FA053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6D269CB7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7D570F63" w14:textId="77777777" w:rsidR="002F75D8" w:rsidRPr="003F44BE" w:rsidRDefault="002F75D8" w:rsidP="1EE411CB">
            <w:pPr>
              <w:pStyle w:val="NormalWeb"/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F75D8" w:rsidRPr="003F44BE" w14:paraId="0AE2BF60" w14:textId="77777777" w:rsidTr="1EE41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E8B6C7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 xml:space="preserve">Weekly school to home communication </w:t>
            </w:r>
          </w:p>
        </w:tc>
        <w:tc>
          <w:tcPr>
            <w:tcW w:w="4795" w:type="dxa"/>
            <w:shd w:val="clear" w:color="auto" w:fill="auto"/>
          </w:tcPr>
          <w:p w14:paraId="35B8DFA3" w14:textId="77777777" w:rsidR="002F75D8" w:rsidRPr="003F44BE" w:rsidRDefault="1EE411CB" w:rsidP="1EE411C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5" w:hanging="2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>Each intervention should include a system for communication with caregivers.</w:t>
            </w:r>
          </w:p>
        </w:tc>
        <w:tc>
          <w:tcPr>
            <w:tcW w:w="977" w:type="dxa"/>
            <w:shd w:val="clear" w:color="auto" w:fill="auto"/>
          </w:tcPr>
          <w:p w14:paraId="1068470F" w14:textId="77777777" w:rsidR="002F75D8" w:rsidRPr="003F44BE" w:rsidRDefault="002F75D8" w:rsidP="1EE4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B7AD1EF" w14:textId="77777777" w:rsidR="002F75D8" w:rsidRPr="003F44BE" w:rsidRDefault="002F75D8" w:rsidP="1EE41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01D47C3E" w14:textId="77777777" w:rsidR="002F75D8" w:rsidRPr="003F44BE" w:rsidRDefault="002F75D8" w:rsidP="1EE41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4FAF15C3" w14:textId="77777777" w:rsidR="002F75D8" w:rsidRPr="003F44BE" w:rsidRDefault="002F75D8" w:rsidP="1EE41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F75D8" w:rsidRPr="003F44BE" w14:paraId="43B7BC4E" w14:textId="77777777" w:rsidTr="1EE4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D46EB6" w14:textId="77777777" w:rsidR="002F75D8" w:rsidRPr="003F44BE" w:rsidRDefault="1EE411CB" w:rsidP="1EE411CB">
            <w:pPr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>Adequate Resources for intervention are available</w:t>
            </w:r>
          </w:p>
        </w:tc>
        <w:tc>
          <w:tcPr>
            <w:tcW w:w="4795" w:type="dxa"/>
            <w:shd w:val="clear" w:color="auto" w:fill="auto"/>
          </w:tcPr>
          <w:p w14:paraId="6BA815BB" w14:textId="77777777" w:rsidR="002F75D8" w:rsidRPr="003F44BE" w:rsidRDefault="1EE411CB" w:rsidP="1EE411C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EE41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School should complete an annual review of Tier II interventions to determine whether (1) interventions were successful, and (2) adequate staff, time, and training were available for implementation. </w:t>
            </w:r>
          </w:p>
        </w:tc>
        <w:tc>
          <w:tcPr>
            <w:tcW w:w="977" w:type="dxa"/>
            <w:shd w:val="clear" w:color="auto" w:fill="auto"/>
          </w:tcPr>
          <w:p w14:paraId="2A568A11" w14:textId="77777777" w:rsidR="002F75D8" w:rsidRPr="003F44BE" w:rsidRDefault="002F75D8" w:rsidP="1EE4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54FB6DA4" w14:textId="77777777" w:rsidR="002F75D8" w:rsidRPr="003F44BE" w:rsidRDefault="002F75D8" w:rsidP="1EE41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14:paraId="4CAA00A6" w14:textId="77777777" w:rsidR="002F75D8" w:rsidRPr="003F44BE" w:rsidRDefault="002F75D8" w:rsidP="1EE41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30E7B281" w14:textId="77777777" w:rsidR="002F75D8" w:rsidRPr="003F44BE" w:rsidRDefault="002F75D8" w:rsidP="1EE41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3BD167A6" w14:textId="52C4E82F" w:rsidR="0069686F" w:rsidRDefault="00BE5036" w:rsidP="1D65CBF9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70C3B99" wp14:editId="6591C030">
            <wp:simplePos x="0" y="0"/>
            <wp:positionH relativeFrom="column">
              <wp:posOffset>5654883</wp:posOffset>
            </wp:positionH>
            <wp:positionV relativeFrom="paragraph">
              <wp:posOffset>8079105</wp:posOffset>
            </wp:positionV>
            <wp:extent cx="1029804" cy="489907"/>
            <wp:effectExtent l="0" t="0" r="0" b="5715"/>
            <wp:wrapNone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04" cy="48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86F" w:rsidSect="002F75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6E5A"/>
    <w:multiLevelType w:val="hybridMultilevel"/>
    <w:tmpl w:val="C0AE8082"/>
    <w:lvl w:ilvl="0" w:tplc="FB6059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D8"/>
    <w:rsid w:val="000657F4"/>
    <w:rsid w:val="002F75D8"/>
    <w:rsid w:val="0069686F"/>
    <w:rsid w:val="00772088"/>
    <w:rsid w:val="00A70846"/>
    <w:rsid w:val="00AF032B"/>
    <w:rsid w:val="00BE5036"/>
    <w:rsid w:val="1501AD57"/>
    <w:rsid w:val="1D65CBF9"/>
    <w:rsid w:val="1EE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4025"/>
  <w15:chartTrackingRefBased/>
  <w15:docId w15:val="{C78E2A38-CF96-174C-BD02-4C273CF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2F75D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F7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GridTable3">
    <w:name w:val="Grid Table 3"/>
    <w:basedOn w:val="TableNormal"/>
    <w:uiPriority w:val="48"/>
    <w:rsid w:val="002F7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4</cp:revision>
  <dcterms:created xsi:type="dcterms:W3CDTF">2020-09-25T15:17:00Z</dcterms:created>
  <dcterms:modified xsi:type="dcterms:W3CDTF">2020-09-25T15:25:00Z</dcterms:modified>
</cp:coreProperties>
</file>